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9896" w14:textId="246023EA" w:rsidR="00A3584A" w:rsidRDefault="00A35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F2CAC" wp14:editId="65C78262">
                <wp:simplePos x="0" y="0"/>
                <wp:positionH relativeFrom="column">
                  <wp:posOffset>1409700</wp:posOffset>
                </wp:positionH>
                <wp:positionV relativeFrom="paragraph">
                  <wp:posOffset>241935</wp:posOffset>
                </wp:positionV>
                <wp:extent cx="411480" cy="1379220"/>
                <wp:effectExtent l="38100" t="0" r="26670" b="49530"/>
                <wp:wrapNone/>
                <wp:docPr id="13637016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1379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7C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1pt;margin-top:19.05pt;width:32.4pt;height:10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E3908B" wp14:editId="332CE130">
            <wp:extent cx="5731510" cy="1528445"/>
            <wp:effectExtent l="0" t="0" r="2540" b="0"/>
            <wp:docPr id="2016156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568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4FB54" w14:textId="2D130A78" w:rsidR="00A3584A" w:rsidRPr="00A3584A" w:rsidRDefault="00A3584A" w:rsidP="00A3584A">
      <w:r w:rsidRPr="00A3584A">
        <w:rPr>
          <w:noProof/>
          <w:kern w:val="0"/>
          <w:sz w:val="22"/>
          <w:szCs w:val="22"/>
          <w:lang w:val="en-MY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6BF837" wp14:editId="5A60593A">
                <wp:simplePos x="0" y="0"/>
                <wp:positionH relativeFrom="column">
                  <wp:posOffset>182880</wp:posOffset>
                </wp:positionH>
                <wp:positionV relativeFrom="paragraph">
                  <wp:posOffset>12065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2B89" w14:textId="64DF298F" w:rsidR="00A3584A" w:rsidRDefault="00A3584A" w:rsidP="00A3584A">
                            <w:proofErr w:type="spellStart"/>
                            <w:r>
                              <w:t>Bidang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Tumpuan</w:t>
                            </w:r>
                            <w:proofErr w:type="spellEnd"/>
                            <w:r>
                              <w:t xml:space="preserve"> (BT)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BF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1y4o&#10;rdsAAAAIAQAADwAAAAAAAAAAAAAAAABrBAAAZHJzL2Rvd25yZXYueG1sUEsFBgAAAAAEAAQA8wAA&#10;AHMFAAAAAA==&#10;">
                <v:textbox style="mso-fit-shape-to-text:t">
                  <w:txbxContent>
                    <w:p w14:paraId="153A2B89" w14:textId="64DF298F" w:rsidR="00A3584A" w:rsidRDefault="00A3584A" w:rsidP="00A3584A">
                      <w:proofErr w:type="spellStart"/>
                      <w:r>
                        <w:t>Bidang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Tumpuan</w:t>
                      </w:r>
                      <w:proofErr w:type="spellEnd"/>
                      <w:r>
                        <w:t xml:space="preserve"> (BT)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7FCD0F" w14:textId="77777777" w:rsidR="00A3584A" w:rsidRPr="00A3584A" w:rsidRDefault="00A3584A" w:rsidP="00A3584A"/>
    <w:p w14:paraId="0D0CDFD2" w14:textId="77777777" w:rsidR="00A3584A" w:rsidRPr="00A3584A" w:rsidRDefault="00A3584A" w:rsidP="00A3584A"/>
    <w:p w14:paraId="04A02902" w14:textId="77777777" w:rsidR="00A3584A" w:rsidRPr="00A3584A" w:rsidRDefault="00A3584A" w:rsidP="00A358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</w:pPr>
      <w:proofErr w:type="spellStart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>Kategori</w:t>
      </w:r>
      <w:proofErr w:type="spellEnd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 xml:space="preserve"> Bidang </w:t>
      </w:r>
      <w:proofErr w:type="spellStart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>Tumpuan</w:t>
      </w:r>
      <w:proofErr w:type="spellEnd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 xml:space="preserve"> </w:t>
      </w:r>
      <w:proofErr w:type="spellStart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>Anugerah</w:t>
      </w:r>
      <w:proofErr w:type="spellEnd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 xml:space="preserve"> </w:t>
      </w:r>
      <w:proofErr w:type="spellStart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>SmartGreen</w:t>
      </w:r>
      <w:proofErr w:type="spellEnd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 xml:space="preserve"> </w:t>
      </w:r>
      <w:proofErr w:type="spellStart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>PolyCC</w:t>
      </w:r>
      <w:proofErr w:type="spellEnd"/>
      <w:r w:rsidRPr="00A3584A">
        <w:rPr>
          <w:rFonts w:ascii="Arial" w:eastAsia="Times New Roman" w:hAnsi="Arial" w:cs="Arial"/>
          <w:b/>
          <w:bCs/>
          <w:color w:val="6EC1E4"/>
          <w:kern w:val="0"/>
          <w:sz w:val="41"/>
          <w:szCs w:val="41"/>
          <w14:ligatures w14:val="none"/>
        </w:rPr>
        <w:t xml:space="preserve"> (POLYCCSUSTAWARD)</w:t>
      </w:r>
    </w:p>
    <w:p w14:paraId="0F51D313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aktiviti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TUJUH (7)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(BT)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perlu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dilaksanakan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secara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seiring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menyeluruh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. Bagi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mengiktiraf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mempamerkan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pencapaian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impak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kepada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individu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/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projek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pembangunan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mampan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amalan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projek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mampan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rubrik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mengikut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7 BT 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seperti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berikut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:-</w:t>
      </w:r>
      <w:proofErr w:type="gramEnd"/>
    </w:p>
    <w:p w14:paraId="2CB44014" w14:textId="77777777" w:rsidR="00A3584A" w:rsidRDefault="00A3584A" w:rsidP="00A3584A"/>
    <w:p w14:paraId="71DCC2DA" w14:textId="5A2900C4" w:rsidR="00A3584A" w:rsidRDefault="00A3584A" w:rsidP="00A3584A">
      <w:pPr>
        <w:rPr>
          <w:noProof/>
        </w:rPr>
      </w:pPr>
      <w:r>
        <w:rPr>
          <w:noProof/>
        </w:rPr>
        <w:drawing>
          <wp:inline distT="0" distB="0" distL="0" distR="0" wp14:anchorId="720F4F11" wp14:editId="644AD7B3">
            <wp:extent cx="5943600" cy="1898015"/>
            <wp:effectExtent l="0" t="0" r="0" b="6985"/>
            <wp:docPr id="1643761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610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D6BF" w14:textId="77777777" w:rsidR="00A3584A" w:rsidRDefault="00A3584A" w:rsidP="00A3584A">
      <w:pPr>
        <w:rPr>
          <w:rFonts w:ascii="Poppins" w:hAnsi="Poppins" w:cs="Poppins"/>
          <w:color w:val="03E070"/>
          <w:shd w:val="clear" w:color="auto" w:fill="FFFFFF"/>
        </w:rPr>
      </w:pPr>
    </w:p>
    <w:p w14:paraId="5BC42AB6" w14:textId="5383CD2B" w:rsidR="00A3584A" w:rsidRDefault="00A3584A" w:rsidP="00A3584A">
      <w:pPr>
        <w:rPr>
          <w:noProof/>
        </w:rPr>
      </w:pPr>
      <w:r>
        <w:rPr>
          <w:rFonts w:ascii="Poppins" w:hAnsi="Poppins" w:cs="Poppins"/>
          <w:color w:val="03E070"/>
          <w:shd w:val="clear" w:color="auto" w:fill="FFFFFF"/>
        </w:rPr>
        <w:t>BIDANG TUMPUAN 1 (BT1</w:t>
      </w:r>
      <w:proofErr w:type="gramStart"/>
      <w:r>
        <w:rPr>
          <w:rFonts w:ascii="Poppins" w:hAnsi="Poppins" w:cs="Poppins"/>
          <w:color w:val="03E070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3E070"/>
          <w:shd w:val="clear" w:color="auto" w:fill="FFFFFF"/>
        </w:rPr>
        <w:t xml:space="preserve"> PENGURUSAN PENDIDIKAN DAN PENYELIDIKAN</w:t>
      </w:r>
    </w:p>
    <w:p w14:paraId="6C875462" w14:textId="77777777" w:rsidR="00A3584A" w:rsidRPr="00A3584A" w:rsidRDefault="00A3584A" w:rsidP="00A3584A">
      <w:pPr>
        <w:shd w:val="clear" w:color="auto" w:fill="FFFFFF"/>
        <w:spacing w:after="225" w:line="240" w:lineRule="auto"/>
        <w:jc w:val="both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pertama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ialah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Pendidikan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Penyelidikan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memberi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kepada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Kurikulum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Hijau,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penyelidikan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penerbitan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lestari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laporan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laman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sesawang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kelestarian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program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kesedaran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lastRenderedPageBreak/>
        <w:t xml:space="preserve">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penerapan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budaya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hijau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serta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latihan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perkongsian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kepakaran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pengalaman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bagi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pelajar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kakitangan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.</w:t>
      </w:r>
    </w:p>
    <w:p w14:paraId="1EBD141D" w14:textId="77777777" w:rsidR="00A3584A" w:rsidRPr="00A3584A" w:rsidRDefault="00A3584A" w:rsidP="00A3584A">
      <w:pPr>
        <w:shd w:val="clear" w:color="auto" w:fill="FFFFFF"/>
        <w:spacing w:after="100" w:afterAutospacing="1" w:line="312" w:lineRule="atLeast"/>
        <w:jc w:val="both"/>
        <w:outlineLvl w:val="4"/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</w:pPr>
      <w:r w:rsidRPr="00A3584A"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  <w:t>PELAN TINDAKAN (PT)</w:t>
      </w:r>
    </w:p>
    <w:p w14:paraId="56B94E36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1.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Penubuhan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Jawatankuasa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Kurikulum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Hijau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Penyelidikan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Penerbitan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mampan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Laporan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Komunikasi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Mampan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5. Program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Kesedaran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Penerapan Budaya Hijau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6.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Pengiktirafan</w:t>
      </w:r>
      <w:proofErr w:type="spellEnd"/>
    </w:p>
    <w:p w14:paraId="27063BE8" w14:textId="77777777" w:rsidR="00A3584A" w:rsidRDefault="00A3584A" w:rsidP="00A3584A"/>
    <w:p w14:paraId="1D92D8D9" w14:textId="17E3E818" w:rsidR="00A3584A" w:rsidRDefault="00A3584A" w:rsidP="00A3584A">
      <w:pPr>
        <w:rPr>
          <w:rFonts w:ascii="Poppins" w:hAnsi="Poppins" w:cs="Poppins"/>
          <w:color w:val="03E070"/>
          <w:shd w:val="clear" w:color="auto" w:fill="FFFFFF"/>
        </w:rPr>
      </w:pPr>
      <w:r>
        <w:rPr>
          <w:rFonts w:ascii="Poppins" w:hAnsi="Poppins" w:cs="Poppins"/>
          <w:color w:val="03E070"/>
          <w:shd w:val="clear" w:color="auto" w:fill="FFFFFF"/>
        </w:rPr>
        <w:t>BIDANG TUMPUAN 2 (BT2</w:t>
      </w:r>
      <w:proofErr w:type="gramStart"/>
      <w:r>
        <w:rPr>
          <w:rFonts w:ascii="Poppins" w:hAnsi="Poppins" w:cs="Poppins"/>
          <w:color w:val="03E070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3E070"/>
          <w:shd w:val="clear" w:color="auto" w:fill="FFFFFF"/>
        </w:rPr>
        <w:t xml:space="preserve"> PENGURUSAN TENAGA DAN PERUBAHAN IKLIM</w:t>
      </w:r>
    </w:p>
    <w:p w14:paraId="7E820879" w14:textId="13D5EEE9" w:rsidR="00A3584A" w:rsidRDefault="00A3584A" w:rsidP="00A3584A">
      <w:proofErr w:type="spellStart"/>
      <w:r>
        <w:t>Bidang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Tenaga dan </w:t>
      </w:r>
      <w:proofErr w:type="spellStart"/>
      <w:r>
        <w:t>Perubahan</w:t>
      </w:r>
      <w:proofErr w:type="spellEnd"/>
      <w:r>
        <w:t xml:space="preserve"> Iklim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pengekalan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kecekapan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galakan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diperbaharui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mengurangkan</w:t>
      </w:r>
      <w:proofErr w:type="spellEnd"/>
      <w:r>
        <w:t xml:space="preserve"> </w:t>
      </w:r>
      <w:proofErr w:type="spellStart"/>
      <w:r>
        <w:t>pelapasan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. Usaha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disokong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inisitif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dioksida</w:t>
      </w:r>
      <w:proofErr w:type="spellEnd"/>
      <w:r>
        <w:t xml:space="preserve"> (CO2) dan lain-lain gas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hijau</w:t>
      </w:r>
      <w:proofErr w:type="spellEnd"/>
      <w:r>
        <w:t>.</w:t>
      </w:r>
    </w:p>
    <w:p w14:paraId="5D8BFB8C" w14:textId="77777777" w:rsidR="00A3584A" w:rsidRPr="00A3584A" w:rsidRDefault="00A3584A" w:rsidP="00A3584A">
      <w:pPr>
        <w:spacing w:after="0"/>
        <w:rPr>
          <w:b/>
          <w:bCs/>
        </w:rPr>
      </w:pPr>
      <w:r w:rsidRPr="00A3584A">
        <w:rPr>
          <w:b/>
          <w:bCs/>
        </w:rPr>
        <w:t>PELAN TINDAKAN (PT)</w:t>
      </w:r>
    </w:p>
    <w:p w14:paraId="5E3E11C9" w14:textId="77777777" w:rsidR="00A3584A" w:rsidRDefault="00A3584A" w:rsidP="00A3584A">
      <w:pPr>
        <w:spacing w:after="0"/>
      </w:pPr>
      <w:r>
        <w:t xml:space="preserve">1. </w:t>
      </w:r>
      <w:proofErr w:type="spellStart"/>
      <w:r>
        <w:t>Mengukuhkan</w:t>
      </w:r>
      <w:proofErr w:type="spellEnd"/>
      <w:r>
        <w:t xml:space="preserve"> </w:t>
      </w:r>
      <w:proofErr w:type="spellStart"/>
      <w:r>
        <w:t>tadbir</w:t>
      </w:r>
      <w:proofErr w:type="spellEnd"/>
      <w:r>
        <w:t xml:space="preserve"> urus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iklim</w:t>
      </w:r>
      <w:proofErr w:type="spellEnd"/>
    </w:p>
    <w:p w14:paraId="0E3D2364" w14:textId="77777777" w:rsidR="00A3584A" w:rsidRDefault="00A3584A" w:rsidP="00A3584A">
      <w:pPr>
        <w:spacing w:after="0"/>
      </w:pPr>
      <w:r>
        <w:t xml:space="preserve">2. Program </w:t>
      </w:r>
      <w:proofErr w:type="spellStart"/>
      <w:r>
        <w:t>latihan</w:t>
      </w:r>
      <w:proofErr w:type="spellEnd"/>
      <w:r>
        <w:t xml:space="preserve"> &amp;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kesedaran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berskala</w:t>
      </w:r>
      <w:proofErr w:type="spellEnd"/>
      <w:r>
        <w:t xml:space="preserve"> dan </w:t>
      </w:r>
      <w:proofErr w:type="spellStart"/>
      <w:r>
        <w:t>berterusan</w:t>
      </w:r>
      <w:proofErr w:type="spellEnd"/>
    </w:p>
    <w:p w14:paraId="5A835EDC" w14:textId="77777777" w:rsidR="00A3584A" w:rsidRDefault="00A3584A" w:rsidP="00A3584A">
      <w:pPr>
        <w:spacing w:after="0"/>
      </w:pPr>
      <w:r>
        <w:t xml:space="preserve">3.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karbon</w:t>
      </w:r>
      <w:proofErr w:type="spellEnd"/>
    </w:p>
    <w:p w14:paraId="7CDB0C37" w14:textId="77777777" w:rsidR="00A3584A" w:rsidRDefault="00A3584A" w:rsidP="00A3584A">
      <w:pPr>
        <w:spacing w:after="0"/>
      </w:pPr>
      <w:r>
        <w:t xml:space="preserve">4. Amalan dan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cekap</w:t>
      </w:r>
      <w:proofErr w:type="spellEnd"/>
      <w:r>
        <w:t xml:space="preserve"> </w:t>
      </w:r>
      <w:proofErr w:type="spellStart"/>
      <w:r>
        <w:t>tenaga</w:t>
      </w:r>
      <w:proofErr w:type="spellEnd"/>
    </w:p>
    <w:p w14:paraId="7A708234" w14:textId="77777777" w:rsidR="00A3584A" w:rsidRDefault="00A3584A" w:rsidP="00A3584A">
      <w:pPr>
        <w:spacing w:after="0"/>
      </w:pPr>
      <w:r>
        <w:t xml:space="preserve">5. </w:t>
      </w:r>
      <w:proofErr w:type="spellStart"/>
      <w:r>
        <w:t>Perlaksanaan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&amp;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pasif</w:t>
      </w:r>
      <w:proofErr w:type="spellEnd"/>
    </w:p>
    <w:p w14:paraId="493FF834" w14:textId="77777777" w:rsidR="00A3584A" w:rsidRDefault="00A3584A" w:rsidP="00A3584A">
      <w:pPr>
        <w:spacing w:after="0"/>
      </w:pPr>
      <w:r>
        <w:t xml:space="preserve">6. </w:t>
      </w:r>
      <w:proofErr w:type="spellStart"/>
      <w:r>
        <w:t>Bilangan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diperbaharui</w:t>
      </w:r>
      <w:proofErr w:type="spellEnd"/>
      <w:r>
        <w:t xml:space="preserve"> di </w:t>
      </w:r>
      <w:proofErr w:type="spellStart"/>
      <w:r>
        <w:t>kampus</w:t>
      </w:r>
      <w:proofErr w:type="spellEnd"/>
    </w:p>
    <w:p w14:paraId="3621D1B6" w14:textId="77777777" w:rsidR="00A3584A" w:rsidRDefault="00A3584A" w:rsidP="00A3584A">
      <w:pPr>
        <w:spacing w:after="0"/>
      </w:pPr>
      <w:r>
        <w:t xml:space="preserve">7. </w:t>
      </w:r>
      <w:proofErr w:type="spellStart"/>
      <w:r>
        <w:t>Meminumkan</w:t>
      </w:r>
      <w:proofErr w:type="spellEnd"/>
      <w:r>
        <w:t xml:space="preserve"> </w:t>
      </w:r>
      <w:proofErr w:type="spellStart"/>
      <w:r>
        <w:t>pengunaan</w:t>
      </w:r>
      <w:proofErr w:type="spellEnd"/>
      <w:r>
        <w:t xml:space="preserve"> </w:t>
      </w:r>
      <w:proofErr w:type="spellStart"/>
      <w:r>
        <w:t>elektrik</w:t>
      </w:r>
      <w:proofErr w:type="spellEnd"/>
      <w:r>
        <w:t xml:space="preserve"> &amp; </w:t>
      </w:r>
      <w:proofErr w:type="spellStart"/>
      <w:r>
        <w:t>Bayaran</w:t>
      </w:r>
      <w:proofErr w:type="spellEnd"/>
      <w:r>
        <w:t xml:space="preserve"> Tarif</w:t>
      </w:r>
    </w:p>
    <w:p w14:paraId="4A76FF65" w14:textId="77777777" w:rsidR="00A3584A" w:rsidRDefault="00A3584A" w:rsidP="00A3584A">
      <w:pPr>
        <w:spacing w:after="0"/>
      </w:pPr>
      <w:r>
        <w:t xml:space="preserve">8. Nisbah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kampus</w:t>
      </w:r>
      <w:proofErr w:type="spellEnd"/>
    </w:p>
    <w:p w14:paraId="52309C15" w14:textId="77777777" w:rsidR="00A3584A" w:rsidRDefault="00A3584A" w:rsidP="00A3584A">
      <w:pPr>
        <w:spacing w:after="0"/>
      </w:pPr>
      <w:r>
        <w:t xml:space="preserve">9. </w:t>
      </w:r>
      <w:proofErr w:type="spellStart"/>
      <w:r>
        <w:t>Penetapan</w:t>
      </w:r>
      <w:proofErr w:type="spellEnd"/>
      <w:r>
        <w:t xml:space="preserve"> Tanda Aras Energy Used Index (EUI) dan </w:t>
      </w:r>
      <w:proofErr w:type="spellStart"/>
      <w:r>
        <w:t>penganugerahan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Politeknik</w:t>
      </w:r>
      <w:proofErr w:type="spellEnd"/>
      <w:r>
        <w:t xml:space="preserve"> dan Kolej Komuniti yang </w:t>
      </w:r>
      <w:proofErr w:type="spellStart"/>
      <w:r>
        <w:t>layak</w:t>
      </w:r>
      <w:proofErr w:type="spellEnd"/>
    </w:p>
    <w:p w14:paraId="5856E62E" w14:textId="2DE0BC07" w:rsidR="00A3584A" w:rsidRDefault="00A3584A" w:rsidP="00A3584A">
      <w:pPr>
        <w:spacing w:after="0"/>
      </w:pPr>
      <w:r>
        <w:t xml:space="preserve">10. </w:t>
      </w:r>
      <w:proofErr w:type="spellStart"/>
      <w:r>
        <w:t>Pertandingan</w:t>
      </w:r>
      <w:proofErr w:type="spellEnd"/>
      <w:r>
        <w:t xml:space="preserve"> </w:t>
      </w:r>
      <w:proofErr w:type="spellStart"/>
      <w:r>
        <w:t>amalan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(Best Practices)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iklim</w:t>
      </w:r>
      <w:proofErr w:type="spellEnd"/>
    </w:p>
    <w:p w14:paraId="5F205D69" w14:textId="77777777" w:rsidR="00A3584A" w:rsidRDefault="00A3584A" w:rsidP="00A3584A"/>
    <w:p w14:paraId="2E56D218" w14:textId="6E9894C4" w:rsidR="00A3584A" w:rsidRDefault="00A3584A" w:rsidP="00A3584A">
      <w:pPr>
        <w:rPr>
          <w:rFonts w:ascii="Poppins" w:hAnsi="Poppins" w:cs="Poppins"/>
          <w:color w:val="03E070"/>
          <w:shd w:val="clear" w:color="auto" w:fill="FFFFFF"/>
        </w:rPr>
      </w:pPr>
      <w:r>
        <w:rPr>
          <w:rFonts w:ascii="Poppins" w:hAnsi="Poppins" w:cs="Poppins"/>
          <w:color w:val="03E070"/>
          <w:shd w:val="clear" w:color="auto" w:fill="FFFFFF"/>
        </w:rPr>
        <w:t>BIDANG TUMPUAN 3 (BT3</w:t>
      </w:r>
      <w:proofErr w:type="gramStart"/>
      <w:r>
        <w:rPr>
          <w:rFonts w:ascii="Poppins" w:hAnsi="Poppins" w:cs="Poppins"/>
          <w:color w:val="03E070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3E070"/>
          <w:shd w:val="clear" w:color="auto" w:fill="FFFFFF"/>
        </w:rPr>
        <w:t xml:space="preserve"> PENGURUSAN ALAM SEKITAR DAN LANDSKAP</w:t>
      </w:r>
    </w:p>
    <w:p w14:paraId="1BE87AA1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ketiga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adalah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Alam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Landskap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dengan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mengintegrasi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amalan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pengoperasian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institusi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dasar-dasar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prosedur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bagi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memastikan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amalan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terbaik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diaplikasikan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lastRenderedPageBreak/>
        <w:t>dalam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harian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Fokus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landskap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pula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mamberi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arah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memberi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kefahaman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jelas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tentang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kepentingan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kepelbagaian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bio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landskap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terhadap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kelestarian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serta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mewujudkan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landskap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dapat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mengekalkan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kepelbagaian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bio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setempat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.</w:t>
      </w:r>
    </w:p>
    <w:p w14:paraId="40B5272A" w14:textId="77777777" w:rsidR="00A3584A" w:rsidRPr="00A3584A" w:rsidRDefault="00A3584A" w:rsidP="00A3584A">
      <w:pPr>
        <w:shd w:val="clear" w:color="auto" w:fill="FFFFFF"/>
        <w:spacing w:after="100" w:afterAutospacing="1" w:line="312" w:lineRule="atLeast"/>
        <w:outlineLvl w:val="4"/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</w:pPr>
      <w:r w:rsidRPr="00A3584A"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  <w:t>PELAN TINDAKAN (PT)</w:t>
      </w:r>
    </w:p>
    <w:p w14:paraId="00AC4456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1. Latihan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kesedaran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terhadap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landskap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Pengekalan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tumbuhan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habitat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semulajadi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3. Kajian dan Tindakan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setempat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larian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permukaan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5.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Perkongsian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maklumat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data</w:t>
      </w:r>
    </w:p>
    <w:p w14:paraId="21ADE460" w14:textId="3A3A8D7B" w:rsidR="00A3584A" w:rsidRDefault="00A3584A" w:rsidP="00A3584A">
      <w:pPr>
        <w:rPr>
          <w:rFonts w:ascii="Poppins" w:hAnsi="Poppins" w:cs="Poppins"/>
          <w:color w:val="03E070"/>
          <w:shd w:val="clear" w:color="auto" w:fill="FFFFFF"/>
        </w:rPr>
      </w:pPr>
      <w:r>
        <w:rPr>
          <w:rFonts w:ascii="Poppins" w:hAnsi="Poppins" w:cs="Poppins"/>
          <w:color w:val="03E070"/>
          <w:shd w:val="clear" w:color="auto" w:fill="FFFFFF"/>
        </w:rPr>
        <w:t>BIDANG TUMPUAN 4 (BT4</w:t>
      </w:r>
      <w:proofErr w:type="gramStart"/>
      <w:r>
        <w:rPr>
          <w:rFonts w:ascii="Poppins" w:hAnsi="Poppins" w:cs="Poppins"/>
          <w:color w:val="03E070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3E070"/>
          <w:shd w:val="clear" w:color="auto" w:fill="FFFFFF"/>
        </w:rPr>
        <w:t xml:space="preserve"> PENGURUSAN SISA</w:t>
      </w:r>
    </w:p>
    <w:p w14:paraId="52408172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keempat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memberi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fokus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kepada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Sisa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untuk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peningkatan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kesedaran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pengetahuan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bagi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mengoptimumkam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penggunaan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sumber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pengukuran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prestasi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semasa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.</w:t>
      </w:r>
    </w:p>
    <w:p w14:paraId="0FB2DA32" w14:textId="77777777" w:rsidR="00A3584A" w:rsidRPr="00A3584A" w:rsidRDefault="00A3584A" w:rsidP="00A3584A">
      <w:pPr>
        <w:shd w:val="clear" w:color="auto" w:fill="FFFFFF"/>
        <w:spacing w:after="100" w:afterAutospacing="1" w:line="312" w:lineRule="atLeast"/>
        <w:outlineLvl w:val="4"/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</w:pPr>
      <w:r w:rsidRPr="00A3584A"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  <w:t>PELAN TINDAKAN (PT)</w:t>
      </w:r>
    </w:p>
    <w:p w14:paraId="5B696A3B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1. Program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Semula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(Prevent, Reduce, Reuse, Recycle, Treat)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2. Program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meminimumkan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penggunaan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cetak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plastic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Pelupusan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organik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mesin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kompos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Pelupusan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bukan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organik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tidak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boleh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dikitar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semula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5.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Pengendalian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kawal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selia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toksik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berjadual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6.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rawatan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kumbahan</w:t>
      </w:r>
      <w:proofErr w:type="spellEnd"/>
    </w:p>
    <w:p w14:paraId="059C8391" w14:textId="7FBE0FAE" w:rsidR="00A3584A" w:rsidRDefault="00A3584A" w:rsidP="00A3584A">
      <w:pPr>
        <w:rPr>
          <w:rFonts w:ascii="Poppins" w:hAnsi="Poppins" w:cs="Poppins"/>
          <w:color w:val="03E070"/>
          <w:shd w:val="clear" w:color="auto" w:fill="FFFFFF"/>
        </w:rPr>
      </w:pPr>
      <w:r>
        <w:rPr>
          <w:rFonts w:ascii="Poppins" w:hAnsi="Poppins" w:cs="Poppins"/>
          <w:color w:val="03E070"/>
          <w:shd w:val="clear" w:color="auto" w:fill="FFFFFF"/>
        </w:rPr>
        <w:t>BIDANG TUMPUAN 5 (BT5</w:t>
      </w:r>
      <w:proofErr w:type="gramStart"/>
      <w:r>
        <w:rPr>
          <w:rFonts w:ascii="Poppins" w:hAnsi="Poppins" w:cs="Poppins"/>
          <w:color w:val="03E070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3E070"/>
          <w:shd w:val="clear" w:color="auto" w:fill="FFFFFF"/>
        </w:rPr>
        <w:t xml:space="preserve"> PENGURUSAN AIR</w:t>
      </w:r>
    </w:p>
    <w:p w14:paraId="0C0B6AF6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kelima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ialah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peningkatan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pengetahuan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tentang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utiliti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amalan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kaedah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penjimatan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pemantauan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,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kawalan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pembangunan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sistem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semula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penuaian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hujan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.</w:t>
      </w:r>
    </w:p>
    <w:p w14:paraId="2D13080E" w14:textId="77777777" w:rsidR="00A3584A" w:rsidRPr="00A3584A" w:rsidRDefault="00A3584A" w:rsidP="00A3584A">
      <w:pPr>
        <w:shd w:val="clear" w:color="auto" w:fill="FFFFFF"/>
        <w:spacing w:after="100" w:afterAutospacing="1" w:line="312" w:lineRule="atLeast"/>
        <w:outlineLvl w:val="4"/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</w:pPr>
      <w:r w:rsidRPr="00A3584A"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  <w:t>PELAN TINDAKAN (PT)</w:t>
      </w:r>
    </w:p>
    <w:p w14:paraId="4E28CCC3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1.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Pemantauan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penggunaan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semasa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2. Kempen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pengetahuan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amalan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pengurangan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Sistem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pengumpulan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hujan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Sistem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semula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air</w:t>
      </w:r>
    </w:p>
    <w:p w14:paraId="6C325E2C" w14:textId="67E49B0D" w:rsidR="00A3584A" w:rsidRDefault="00A3584A" w:rsidP="00A3584A">
      <w:pPr>
        <w:rPr>
          <w:rFonts w:ascii="Poppins" w:hAnsi="Poppins" w:cs="Poppins"/>
          <w:color w:val="06C59B"/>
          <w:shd w:val="clear" w:color="auto" w:fill="FFFFFF"/>
        </w:rPr>
      </w:pPr>
      <w:r>
        <w:rPr>
          <w:rFonts w:ascii="Poppins" w:hAnsi="Poppins" w:cs="Poppins"/>
          <w:color w:val="06C59B"/>
          <w:shd w:val="clear" w:color="auto" w:fill="FFFFFF"/>
        </w:rPr>
        <w:t>BIDANG TUMPUAN 6 (BT6</w:t>
      </w:r>
      <w:proofErr w:type="gramStart"/>
      <w:r>
        <w:rPr>
          <w:rFonts w:ascii="Poppins" w:hAnsi="Poppins" w:cs="Poppins"/>
          <w:color w:val="06C59B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6C59B"/>
          <w:shd w:val="clear" w:color="auto" w:fill="FFFFFF"/>
        </w:rPr>
        <w:t xml:space="preserve"> PENGANGKUTAN</w:t>
      </w:r>
    </w:p>
    <w:p w14:paraId="2B627CE4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lastRenderedPageBreak/>
        <w:t>Bidang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keenam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memberi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kepada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Pengangkutan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dengan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menerapkan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kesedaran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tentang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kepentingan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bagi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mengurangkan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pencemaran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melalui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polisi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pengurusan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teknologi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hijau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.</w:t>
      </w:r>
    </w:p>
    <w:p w14:paraId="7C5DF936" w14:textId="77777777" w:rsidR="00A3584A" w:rsidRPr="00A3584A" w:rsidRDefault="00A3584A" w:rsidP="00A3584A">
      <w:pPr>
        <w:shd w:val="clear" w:color="auto" w:fill="FFFFFF"/>
        <w:spacing w:after="100" w:afterAutospacing="1" w:line="312" w:lineRule="atLeast"/>
        <w:outlineLvl w:val="4"/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</w:pPr>
      <w:r w:rsidRPr="00A3584A"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  <w:t>PELAN TINDAKAN (PT)</w:t>
      </w:r>
    </w:p>
    <w:p w14:paraId="3C2E8A46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1.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Perkongsian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kenderaan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penggunaan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kenderaan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awam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dikalangan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warga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PolyCC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2. Garis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panduan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pejalan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kaki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penggunaan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basikal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3. Polisi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penggunaan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kenderaan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bagi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pengurangan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karbon</w:t>
      </w:r>
      <w:proofErr w:type="spellEnd"/>
    </w:p>
    <w:p w14:paraId="1FC1568A" w14:textId="067E83AA" w:rsidR="00A3584A" w:rsidRDefault="00A3584A" w:rsidP="00A3584A">
      <w:pPr>
        <w:rPr>
          <w:rFonts w:ascii="Poppins" w:hAnsi="Poppins" w:cs="Poppins"/>
          <w:color w:val="03E070"/>
          <w:shd w:val="clear" w:color="auto" w:fill="FFFFFF"/>
        </w:rPr>
      </w:pPr>
      <w:r>
        <w:rPr>
          <w:rFonts w:ascii="Poppins" w:hAnsi="Poppins" w:cs="Poppins"/>
          <w:color w:val="03E070"/>
          <w:shd w:val="clear" w:color="auto" w:fill="FFFFFF"/>
        </w:rPr>
        <w:t>BIDANG TUMPUAN 7 (BT7</w:t>
      </w:r>
      <w:proofErr w:type="gramStart"/>
      <w:r>
        <w:rPr>
          <w:rFonts w:ascii="Poppins" w:hAnsi="Poppins" w:cs="Poppins"/>
          <w:color w:val="03E070"/>
          <w:shd w:val="clear" w:color="auto" w:fill="FFFFFF"/>
        </w:rPr>
        <w:t>) :</w:t>
      </w:r>
      <w:proofErr w:type="gramEnd"/>
      <w:r>
        <w:rPr>
          <w:rFonts w:ascii="Poppins" w:hAnsi="Poppins" w:cs="Poppins"/>
          <w:color w:val="03E070"/>
          <w:shd w:val="clear" w:color="auto" w:fill="FFFFFF"/>
        </w:rPr>
        <w:t xml:space="preserve"> PEROLEHAN HIJAU</w:t>
      </w:r>
    </w:p>
    <w:p w14:paraId="2319F015" w14:textId="7B226226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proofErr w:type="spellStart"/>
      <w:r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B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idang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Tumpuan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ketujuh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iaitu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Perolehan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Hijau yang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memberi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fokus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kepada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pengenalan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amalan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perolehan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hijau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dalam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sistem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Politeknik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Kojej Komuniti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sebagai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usaha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menyokong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pemeliharaan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alam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sekitar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pengurangan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jejak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karbon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.</w:t>
      </w:r>
    </w:p>
    <w:p w14:paraId="351C0EE0" w14:textId="77777777" w:rsidR="00A3584A" w:rsidRPr="00A3584A" w:rsidRDefault="00A3584A" w:rsidP="00A3584A">
      <w:pPr>
        <w:shd w:val="clear" w:color="auto" w:fill="FFFFFF"/>
        <w:spacing w:after="100" w:afterAutospacing="1" w:line="312" w:lineRule="atLeast"/>
        <w:outlineLvl w:val="4"/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</w:pPr>
      <w:r w:rsidRPr="00A3584A">
        <w:rPr>
          <w:rFonts w:ascii="Roboto" w:eastAsia="Times New Roman" w:hAnsi="Roboto" w:cs="Times New Roman"/>
          <w:b/>
          <w:bCs/>
          <w:color w:val="121212"/>
          <w:kern w:val="0"/>
          <w14:ligatures w14:val="none"/>
        </w:rPr>
        <w:t>PELAN TINDAKAN (PT)</w:t>
      </w:r>
    </w:p>
    <w:p w14:paraId="10737887" w14:textId="77777777" w:rsidR="00A3584A" w:rsidRPr="00A3584A" w:rsidRDefault="00A3584A" w:rsidP="00A3584A">
      <w:pPr>
        <w:shd w:val="clear" w:color="auto" w:fill="FFFFFF"/>
        <w:spacing w:after="225" w:line="240" w:lineRule="auto"/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</w:pP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1.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Pelaksanaan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Training of Trainers (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ToT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)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2.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Penganjuran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Latihan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3.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Taklimat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kepada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pembekal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dan Supply Chain</w:t>
      </w:r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4.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Perancangan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perolehan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tahunan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br/>
        <w:t xml:space="preserve">5.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Penyediaan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laporan</w:t>
      </w:r>
      <w:proofErr w:type="spellEnd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 xml:space="preserve"> </w:t>
      </w:r>
      <w:proofErr w:type="spellStart"/>
      <w:r w:rsidRPr="00A3584A">
        <w:rPr>
          <w:rFonts w:ascii="Poppins" w:eastAsia="Times New Roman" w:hAnsi="Poppins" w:cs="Poppins"/>
          <w:color w:val="7A7A7A"/>
          <w:kern w:val="0"/>
          <w:sz w:val="21"/>
          <w:szCs w:val="21"/>
          <w14:ligatures w14:val="none"/>
        </w:rPr>
        <w:t>prestasi</w:t>
      </w:r>
      <w:proofErr w:type="spellEnd"/>
    </w:p>
    <w:p w14:paraId="78B7AA4D" w14:textId="77777777" w:rsidR="00A3584A" w:rsidRPr="00A3584A" w:rsidRDefault="00A3584A" w:rsidP="00A3584A"/>
    <w:sectPr w:rsidR="00A3584A" w:rsidRPr="00A3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4A"/>
    <w:rsid w:val="00050282"/>
    <w:rsid w:val="00A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D6BC"/>
  <w15:chartTrackingRefBased/>
  <w15:docId w15:val="{4D43609C-5BBD-45D9-AE5C-7F3DA37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8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8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8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8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NORASNI MOHD JAMIR</dc:creator>
  <cp:keywords/>
  <dc:description/>
  <cp:lastModifiedBy>NORASNI MOHD JAMIR</cp:lastModifiedBy>
  <cp:revision>1</cp:revision>
  <dcterms:created xsi:type="dcterms:W3CDTF">2025-08-29T03:13:00Z</dcterms:created>
  <dcterms:modified xsi:type="dcterms:W3CDTF">2025-08-29T03:22:00Z</dcterms:modified>
</cp:coreProperties>
</file>